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SZCENÁRIÓ OKTATÁSI KÉPZÉSEKHEZ – AKADÉMIAI ALKALMAZOTTAK ÉS MÁS DOLGOZÓK SZÁMÁRA</w:t>
      </w:r>
    </w:p>
    <w:p w:rsidR="00000000" w:rsidDel="00000000" w:rsidP="00000000" w:rsidRDefault="00000000" w:rsidRPr="00000000" w14:paraId="00000002">
      <w:pPr>
        <w:rPr>
          <w:b w:val="1"/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b w:val="1"/>
          <w:sz w:val="20"/>
          <w:szCs w:val="20"/>
          <w:rtl w:val="0"/>
        </w:rPr>
        <w:t xml:space="preserve">A SZCENÁRIÓ ELSŐ RÉSZE</w:t>
      </w:r>
    </w:p>
    <w:tbl>
      <w:tblPr>
        <w:tblStyle w:val="Table1"/>
        <w:tblW w:w="9062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37"/>
        <w:gridCol w:w="7225"/>
        <w:tblGridChange w:id="0">
          <w:tblGrid>
            <w:gridCol w:w="1837"/>
            <w:gridCol w:w="722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3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AZ ÓRÁK TÉMÁJA</w:t>
            </w:r>
          </w:p>
        </w:tc>
        <w:tc>
          <w:tcPr/>
          <w:p w:rsidR="00000000" w:rsidDel="00000000" w:rsidP="00000000" w:rsidRDefault="00000000" w:rsidRPr="00000000" w14:paraId="00000004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Az egyenlőtlenség/egyenlőség jogi aspektusai a foglalkoztatás területén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5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TÉMAKÖRÖK</w:t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I. A munka és a magánélet egyensúlya</w:t>
            </w:r>
          </w:p>
          <w:p w:rsidR="00000000" w:rsidDel="00000000" w:rsidP="00000000" w:rsidRDefault="00000000" w:rsidRPr="00000000" w14:paraId="00000007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II. A menstruációt övező egyenlőtlenségek</w:t>
            </w:r>
          </w:p>
          <w:p w:rsidR="00000000" w:rsidDel="00000000" w:rsidP="00000000" w:rsidRDefault="00000000" w:rsidRPr="00000000" w14:paraId="00000008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III. A nemek közötti egyenlőség munkajogi kérdései</w:t>
            </w:r>
          </w:p>
          <w:p w:rsidR="00000000" w:rsidDel="00000000" w:rsidP="00000000" w:rsidRDefault="00000000" w:rsidRPr="00000000" w14:paraId="00000009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IV. Mobbing, (internetes) zaklatás és bántalmazás</w:t>
            </w:r>
          </w:p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B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AZ ÓRÁK IDŐTARTAMA</w:t>
              <w:tab/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1,5 óra/alkalom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D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 KÉPZÉS MÓDJA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Hibrid forma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F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KULCSSZAVAK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Egyenlőség, munka-magánélet egyensúlya, családvédelem, női munkavállalók, férfi munkavállalók</w:t>
            </w:r>
          </w:p>
        </w:tc>
      </w:tr>
    </w:tbl>
    <w:p w:rsidR="00000000" w:rsidDel="00000000" w:rsidP="00000000" w:rsidRDefault="00000000" w:rsidRPr="00000000" w14:paraId="00000011">
      <w:pPr>
        <w:rPr>
          <w:b w:val="1"/>
          <w:sz w:val="20"/>
          <w:szCs w:val="20"/>
        </w:rPr>
      </w:pPr>
      <w:bookmarkStart w:colFirst="0" w:colLast="0" w:name="_heading=h.1fob9te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A SZCENÁRIÓ MÁSODIK RÉSZE</w:t>
      </w:r>
    </w:p>
    <w:tbl>
      <w:tblPr>
        <w:tblStyle w:val="Table2"/>
        <w:tblW w:w="9141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97"/>
        <w:gridCol w:w="7144"/>
        <w:tblGridChange w:id="0">
          <w:tblGrid>
            <w:gridCol w:w="1997"/>
            <w:gridCol w:w="7144"/>
          </w:tblGrid>
        </w:tblGridChange>
      </w:tblGrid>
      <w:tr>
        <w:trPr>
          <w:cantSplit w:val="0"/>
          <w:trHeight w:val="915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3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AZ ÓRÁK CÉLKITŰZÉSEI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I. Fő cél a munkajogi és szociális jogi szempontok jogi hátterének bemutatása a magánjogi (különösen a családjogi) szabályok összekapcsolásával. Képes-e a magánélet/családjog védelmére a jogalkotó, vagy tapasztalhatunk-e különbségeket e két jogterület között?</w:t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További célkitűzés, hogy elemezzük, milyen problémákat találhatunk a tudományos szféra területén, milyen kihívásokat tapasztalhatnak a női és férfi munkavállalók ezen a területen, és hogyan tud erre megoldást nyújtani a jogalkotó és a magánjogi szabályok.</w:t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II. A fő cél a menstruációs egészség problémájának bemutatása, a menstruáló személyekkel szemben tanúsított egyenlő bánásmód jelentőségének ismertetése, tudatosítani a diákokban, hogy a menstruáló személyek milyen korlátozottságot tapasztalnak a menstruáció során, valamint megismertetni a diákokat a menstruációs egészség fogalmával, a menstruációt övező társadalmi stigmák felszámolása érdekében.</w:t>
            </w:r>
          </w:p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III. A kurzus célja, hogy a hallgatók megismerjék a munkaerőpiac általános helyzetét. Emellett felhívja a figyelmet a nemek közötti különbségekből adódó eltérésekre. A legfontosabb célkitűzés, hogy a hallgatók megismerjék azokat a jogi eszközöket és jogi hátteret, amelyekre hivatkozhatnak, ha nemük vagy más védett tulajdonságuk miatt hátrányos helyzetbe kerülnek.</w:t>
            </w:r>
          </w:p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IV. Az esetenként "csoportos zaklatásként" ismert munkahelyi zaklatás (mobbing) azt jelenti, hogy emberek csoportjai egy adott munkatársat célba vesznek, hogy elszigeteljék, megalázzák és agresszívan bánjanak vele. A mobbing célpontjaira, valamint magára a vállalkozásra gyakorolt hatás súlyos lehet. Az akadémiai szférának tisztában kell lennie a mobbing jeleivel, és lépéseket kell tennie az egészséges munkakörnyezet elősegítése érdekében.</w:t>
            </w:r>
          </w:p>
          <w:p w:rsidR="00000000" w:rsidDel="00000000" w:rsidP="00000000" w:rsidRDefault="00000000" w:rsidRPr="00000000" w14:paraId="0000001C">
            <w:pPr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A munkahelyi konfliktusok nem új keletűek. Bizonyított, hogy az egészséges konfliktus előnyös lehet egy üzleti szervezet számára. Néha azonban a konfliktus baljós fordulatot vehet, amikor egy munkavállaló pszichikai terrorhadjáratot indít egy másik munkavállaló ellen. Bármennyire is nyomasztó lehet az egyéni zaklatás, a helyzet sokkal rosszabbá válhat, ha a terrorizáló munkavállaló más munkatársak segítségét is igénybe veszi, akik szintén megfélemlítik, megalázzák és zaklatják a célszemélyt.</w:t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85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F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TANULÁSI EREDMÉNYEK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a résztvevők beszélhetnek helyzetükről, a témákkal kapcsolatos jó gyakorlataikról és problémáikról, arról, hogyan tudják kezelni a különbségeket és a problémás kérdéseket, mit várnak a jogalkotótól stb.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JAVASOLT ESZKÖZÖK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Ms Teams, Ppt prezentáció, csoportos foglalkozás, esettanulmányok.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TIPPEK/ MÓDSZERTANI ÉSZREVÉTELEK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Előzetesen rövid interjú készítése a résztvevők előzetes ismereteiről. Minden bizonnyal sok tévhit fog felvetődni, amelyeket a megfelelő ismeretek alapján tisztázni fogunk.</w:t>
            </w:r>
          </w:p>
          <w:p w:rsidR="00000000" w:rsidDel="00000000" w:rsidP="00000000" w:rsidRDefault="00000000" w:rsidRPr="00000000" w14:paraId="00000026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Ezeket a kérdéseket esettanulmányok közös feldolgozásával fogjuk feltárni. Az esetek egy része általánosságban vizsgálja a nemi alapú hátrányos megkülönböztetést. Az általános kérdések közül a felsőoktatással kapcsolatos eseteket és a kapcsolódó kérdésköröket emeljük ki.</w:t>
            </w:r>
          </w:p>
        </w:tc>
      </w:tr>
      <w:tr>
        <w:trPr>
          <w:cantSplit w:val="0"/>
          <w:trHeight w:val="70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KOCKÁZATOK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  <w:sz w:val="20"/>
          <w:szCs w:val="20"/>
        </w:rPr>
      </w:pPr>
      <w:bookmarkStart w:colFirst="0" w:colLast="0" w:name="_heading=h.3znysh7" w:id="2"/>
      <w:bookmarkEnd w:id="2"/>
      <w:r w:rsidDel="00000000" w:rsidR="00000000" w:rsidRPr="00000000">
        <w:rPr>
          <w:b w:val="1"/>
          <w:sz w:val="20"/>
          <w:szCs w:val="20"/>
          <w:rtl w:val="0"/>
        </w:rPr>
        <w:t xml:space="preserve">A SZCENÁRIÓ HARMADIK RÉSZE</w:t>
      </w:r>
    </w:p>
    <w:tbl>
      <w:tblPr>
        <w:tblStyle w:val="Table3"/>
        <w:tblW w:w="9141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53"/>
        <w:gridCol w:w="1969"/>
        <w:gridCol w:w="5319"/>
        <w:tblGridChange w:id="0">
          <w:tblGrid>
            <w:gridCol w:w="1853"/>
            <w:gridCol w:w="1969"/>
            <w:gridCol w:w="5319"/>
          </w:tblGrid>
        </w:tblGridChange>
      </w:tblGrid>
      <w:tr>
        <w:trPr>
          <w:cantSplit w:val="0"/>
          <w:trHeight w:val="70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C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TANANYAG - JELLEMZŐK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D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 kurzus során a hallgatók először az esélyegyenlőségi jog alkotmányos alapjait ismerik meg az előzetes tudásukra alapozva. Megismerik azt az alkotmányos hátteret, amely biztosítja e jog mindennapi érvényesülését. 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Ezen az alkotmányos kereten túl megismerkednek a nemzeti jogszabályokkal is, amelyek az alkotmányos kereteket kiegészítve részletesen szabályozzák az egyenlő bánásmód kérdését az élet valamennyi területén.  A kurzus keretében a hallgatók gyakorlati feladatok közös megoldásával megtanulják, hogy a megkülönböztetés mely esetei tartoznak a diszkrimináció körébe, különösen a munkaerőpiaccal kapcsolatban. A gyakorlati feladatokon keresztül megismerkednek a hatályos jogorvoslati rendszerekkel és a jogorvoslati fórumrendszerrel, amely rendelkezésükre áll. 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Emellett a hallgatók megismerik a közvetlen és a közvetett hátrányos megkülönböztetés közötti különbséget, és megtanulják, hogyan lehet megelőzni vagy elkerülni, hogy ilyen jellegű helyzetekben elkövetővé váljanak. 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 nemzeti joggyakorlatot az Európai Unió egyenlőségi politikája keretezi. Az esetek egy része az Európai Unió gyakorlatát is tükrözi majd.</w:t>
            </w:r>
          </w:p>
        </w:tc>
      </w:tr>
      <w:tr>
        <w:trPr>
          <w:cantSplit w:val="0"/>
          <w:trHeight w:val="70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3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ALAPFOGALMAK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Egyenlőség, munka és magánélet egyensúlya, családvédelem, női munkavállalók, férfi munkavállalók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1" w:hRule="atLeast"/>
          <w:tblHeader w:val="0"/>
        </w:trPr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3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AZ ÓRA MENETE</w:t>
            </w:r>
          </w:p>
          <w:p w:rsidR="00000000" w:rsidDel="00000000" w:rsidP="00000000" w:rsidRDefault="00000000" w:rsidRPr="00000000" w14:paraId="0000003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3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1. lépés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both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Beszélgetés a témákkal kapcsolatos korábbi ismeretekről. A témavezető a bevezetés érdekében kérdéseket tesz fel, majd ezt követően beszélgetnek a tapasztalataikról. (jó és rossz tapasztalatokról is) 20 perc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1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3B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2. lépés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3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 résztvevők csoportokra osztása (a csoportok száma a résztvevők számától függ). Ekkor jöhet némi beszélgetés a témákról és a további elvárásokról.</w:t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40 perc</w:t>
            </w:r>
          </w:p>
        </w:tc>
      </w:tr>
      <w:tr>
        <w:trPr>
          <w:cantSplit w:val="0"/>
          <w:trHeight w:val="732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3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 lépés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Rövid előadás a témák jogi hátteréről, és a résztvevők ismereteinek bővítése. Ezt követően figyeljük a reakciókat, és ismét beszélgetést folytatunk a véleményükről - melyek a jó megoldások és gyakorlatok a jogi háttér fényében, és mely területet kellene újragondolni vagy fejleszteni.</w:t>
            </w:r>
          </w:p>
          <w:p w:rsidR="00000000" w:rsidDel="00000000" w:rsidP="00000000" w:rsidRDefault="00000000" w:rsidRPr="00000000" w14:paraId="0000004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Az esetjogi tapasztalatok megvitatása az elmélet és az ítélkezési gyakorlat fényében. </w:t>
            </w:r>
          </w:p>
          <w:p w:rsidR="00000000" w:rsidDel="00000000" w:rsidP="00000000" w:rsidRDefault="00000000" w:rsidRPr="00000000" w14:paraId="0000004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30 perc</w:t>
            </w:r>
          </w:p>
        </w:tc>
      </w:tr>
    </w:tbl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 SZCENÁRIÓ NEGYEDIK RÉSZE KIEGÉSZÍTŐ ANYAGOK (MUNKALAP, KÁRTYÁK, KÉPEK, FELVÉTELEK)</w:t>
      </w:r>
    </w:p>
    <w:p w:rsidR="00000000" w:rsidDel="00000000" w:rsidP="00000000" w:rsidRDefault="00000000" w:rsidRPr="00000000" w14:paraId="0000004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sz w:val="24"/>
          <w:szCs w:val="24"/>
        </w:rPr>
      </w:pPr>
      <w:r w:rsidDel="00000000" w:rsidR="00000000" w:rsidRPr="00000000">
        <w:rPr>
          <w:rtl w:val="0"/>
        </w:rPr>
        <w:t xml:space="preserve">A kiegészítő tananyagok (ppt, felmérés, esettanulmányok) kidolgozás alatt állnak.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2051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bookmarkStart w:colFirst="0" w:colLast="0" w:name="_heading=h.gjdgxs" w:id="3"/>
    <w:bookmarkEnd w:id="3"/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ind w:hanging="567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ind w:hanging="567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l" w:default="1">
    <w:name w:val="Normal"/>
    <w:qFormat w:val="1"/>
    <w:rsid w:val="003172F6"/>
    <w:rPr>
      <w:rFonts w:eastAsiaTheme="minorEastAsia"/>
      <w:lang w:eastAsia="pl-PL"/>
    </w:rPr>
  </w:style>
  <w:style w:type="paragraph" w:styleId="Cmsor1">
    <w:name w:val="heading 1"/>
    <w:basedOn w:val="Norml"/>
    <w:next w:val="Norm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Cmsor2">
    <w:name w:val="heading 2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Cmsor3">
    <w:name w:val="heading 3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Cmsor4">
    <w:name w:val="heading 4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Cmsor5">
    <w:name w:val="heading 5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Cmsor6">
    <w:name w:val="heading 6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Bekezdsalapbettpusa" w:default="1">
    <w:name w:val="Default Paragraph Font"/>
    <w:uiPriority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m">
    <w:name w:val="Title"/>
    <w:basedOn w:val="Norml"/>
    <w:next w:val="Norm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lfej">
    <w:name w:val="header"/>
    <w:basedOn w:val="Norml"/>
    <w:link w:val="lfejChar"/>
    <w:uiPriority w:val="99"/>
    <w:unhideWhenUsed w:val="1"/>
    <w:rsid w:val="00E65FAD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styleId="lfejChar" w:customStyle="1">
    <w:name w:val="Élőfej Char"/>
    <w:basedOn w:val="Bekezdsalapbettpusa"/>
    <w:link w:val="lfej"/>
    <w:uiPriority w:val="99"/>
    <w:rsid w:val="00E65FAD"/>
  </w:style>
  <w:style w:type="paragraph" w:styleId="llb">
    <w:name w:val="footer"/>
    <w:basedOn w:val="Norml"/>
    <w:link w:val="llbChar"/>
    <w:uiPriority w:val="99"/>
    <w:unhideWhenUsed w:val="1"/>
    <w:rsid w:val="00E65FAD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styleId="llbChar" w:customStyle="1">
    <w:name w:val="Élőláb Char"/>
    <w:basedOn w:val="Bekezdsalapbettpusa"/>
    <w:link w:val="llb"/>
    <w:uiPriority w:val="99"/>
    <w:rsid w:val="00E65FAD"/>
  </w:style>
  <w:style w:type="table" w:styleId="Rcsostblzat">
    <w:name w:val="Table Grid"/>
    <w:basedOn w:val="Normltblzat"/>
    <w:uiPriority w:val="39"/>
    <w:rsid w:val="003172F6"/>
    <w:pPr>
      <w:spacing w:after="0" w:line="240" w:lineRule="auto"/>
    </w:pPr>
    <w:rPr>
      <w:rFonts w:eastAsiaTheme="minorEastAsia"/>
      <w:lang w:eastAsia="pl-PL"/>
    </w:r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Listaszerbekezds">
    <w:name w:val="List Paragraph"/>
    <w:basedOn w:val="Norml"/>
    <w:uiPriority w:val="34"/>
    <w:qFormat w:val="1"/>
    <w:rsid w:val="00880362"/>
    <w:pPr>
      <w:ind w:left="720"/>
      <w:contextualSpacing w:val="1"/>
    </w:pPr>
  </w:style>
  <w:style w:type="paragraph" w:styleId="Lbjegyzetszveg">
    <w:name w:val="footnote text"/>
    <w:basedOn w:val="Norml"/>
    <w:link w:val="LbjegyzetszvegChar"/>
    <w:uiPriority w:val="99"/>
    <w:semiHidden w:val="1"/>
    <w:unhideWhenUsed w:val="1"/>
    <w:rsid w:val="00831BCD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styleId="LbjegyzetszvegChar" w:customStyle="1">
    <w:name w:val="Lábjegyzetszöveg Char"/>
    <w:basedOn w:val="Bekezdsalapbettpusa"/>
    <w:link w:val="Lbjegyzetszveg"/>
    <w:uiPriority w:val="99"/>
    <w:semiHidden w:val="1"/>
    <w:rsid w:val="00831BCD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 w:val="1"/>
    <w:unhideWhenUsed w:val="1"/>
    <w:rsid w:val="00831BCD"/>
    <w:rPr>
      <w:vertAlign w:val="superscript"/>
    </w:rPr>
  </w:style>
  <w:style w:type="character" w:styleId="il" w:customStyle="1">
    <w:name w:val="il"/>
    <w:basedOn w:val="Bekezdsalapbettpusa"/>
    <w:rsid w:val="00831BCD"/>
  </w:style>
  <w:style w:type="paragraph" w:styleId="NormlWeb">
    <w:name w:val="Normal (Web)"/>
    <w:basedOn w:val="Norml"/>
    <w:uiPriority w:val="99"/>
    <w:unhideWhenUsed w:val="1"/>
    <w:rsid w:val="002D2EB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lcm">
    <w:name w:val="Subtitle"/>
    <w:basedOn w:val="Norml"/>
    <w:next w:val="Norm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Jegyzetszveg">
    <w:name w:val="annotation text"/>
    <w:basedOn w:val="Norml"/>
    <w:link w:val="Jegyzetszveg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JegyzetszvegChar" w:customStyle="1">
    <w:name w:val="Jegyzetszöveg Char"/>
    <w:basedOn w:val="Bekezdsalapbettpusa"/>
    <w:link w:val="Jegyzetszveg"/>
    <w:uiPriority w:val="99"/>
    <w:semiHidden w:val="1"/>
    <w:rPr>
      <w:rFonts w:eastAsiaTheme="minorEastAsia"/>
      <w:sz w:val="20"/>
      <w:szCs w:val="20"/>
      <w:lang w:eastAsia="pl-PL"/>
    </w:rPr>
  </w:style>
  <w:style w:type="character" w:styleId="Jegyzethivatkozs">
    <w:name w:val="annotation reference"/>
    <w:basedOn w:val="Bekezdsalapbettpusa"/>
    <w:uiPriority w:val="99"/>
    <w:semiHidden w:val="1"/>
    <w:unhideWhenUsed w:val="1"/>
    <w:rPr>
      <w:sz w:val="16"/>
      <w:szCs w:val="16"/>
    </w:rPr>
  </w:style>
  <w:style w:type="table" w:styleId="a2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GU740n+u22a6tGwKfEmQ9VdjcQ==">CgMxLjAyCWguMzBqMHpsbDIJaC4xZm9iOXRlMgloLjN6bnlzaDcyCGguZ2pkZ3hzOAByITFxUjZlMVN3QmVoWW5SSmZhNkw2bF9UM05VZFNtZm9Ecg==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2024-02-21T13:56:00Z</dcterms:created>
  <dc:creator>Marta Margiel</dc:creator>
</cp:coreProperties>
</file>